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11CD" w14:textId="580696D9" w:rsidR="00145FEF" w:rsidRPr="0014272C" w:rsidRDefault="00145FEF">
      <w:pPr>
        <w:rPr>
          <w:rFonts w:cs="Arial"/>
        </w:rPr>
      </w:pPr>
    </w:p>
    <w:p w14:paraId="3F8EB0D1" w14:textId="1FFD2E70" w:rsidR="005C4EDD" w:rsidRPr="0014272C" w:rsidRDefault="00145FEF">
      <w:pPr>
        <w:rPr>
          <w:rFonts w:cs="Arial"/>
        </w:rPr>
      </w:pPr>
      <w:r w:rsidRPr="0014272C">
        <w:rPr>
          <w:rFonts w:cs="Arial"/>
        </w:rPr>
        <w:t>T</w:t>
      </w:r>
      <w:r w:rsidR="0014272C" w:rsidRPr="0014272C">
        <w:rPr>
          <w:rFonts w:cs="Arial"/>
        </w:rPr>
        <w:t>able</w:t>
      </w:r>
      <w:r w:rsidRPr="0014272C">
        <w:rPr>
          <w:rFonts w:cs="Arial"/>
        </w:rPr>
        <w:t xml:space="preserve"> 1. </w:t>
      </w:r>
    </w:p>
    <w:tbl>
      <w:tblPr>
        <w:tblpPr w:leftFromText="180" w:rightFromText="180" w:vertAnchor="page" w:horzAnchor="margin" w:tblpY="214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3289"/>
        <w:gridCol w:w="1559"/>
        <w:gridCol w:w="1559"/>
        <w:gridCol w:w="1560"/>
        <w:gridCol w:w="1559"/>
      </w:tblGrid>
      <w:tr w:rsidR="00421DBE" w:rsidRPr="0014272C" w14:paraId="10E89532" w14:textId="77777777" w:rsidTr="00421DBE">
        <w:trPr>
          <w:trHeight w:val="731"/>
        </w:trPr>
        <w:tc>
          <w:tcPr>
            <w:tcW w:w="3794" w:type="dxa"/>
            <w:vMerge w:val="restart"/>
            <w:shd w:val="clear" w:color="auto" w:fill="EEECE1"/>
          </w:tcPr>
          <w:p w14:paraId="6A6A457C" w14:textId="1BC93CFC" w:rsidR="00421DBE" w:rsidRPr="0014272C" w:rsidRDefault="00421DBE" w:rsidP="0014272C">
            <w:pPr>
              <w:spacing w:before="120" w:after="120" w:line="240" w:lineRule="auto"/>
              <w:ind w:left="50" w:right="170"/>
              <w:jc w:val="left"/>
              <w:rPr>
                <w:rFonts w:cs="Arial"/>
                <w:color w:val="000000"/>
                <w:lang w:val="en-GB"/>
              </w:rPr>
            </w:pPr>
            <w:r w:rsidRPr="0014272C">
              <w:rPr>
                <w:rFonts w:cs="Arial"/>
                <w:b/>
                <w:lang w:val="en-GB"/>
              </w:rPr>
              <w:t>Breakdown</w:t>
            </w:r>
            <w:r w:rsidRPr="0014272C">
              <w:rPr>
                <w:rFonts w:cs="Arial"/>
                <w:b/>
                <w:spacing w:val="2"/>
                <w:lang w:val="en-GB"/>
              </w:rPr>
              <w:t xml:space="preserve"> of eligible </w:t>
            </w:r>
            <w:r>
              <w:rPr>
                <w:rFonts w:cs="Arial"/>
                <w:b/>
                <w:spacing w:val="2"/>
                <w:lang w:val="en-GB"/>
              </w:rPr>
              <w:t xml:space="preserve">activities/ </w:t>
            </w:r>
            <w:r w:rsidRPr="0014272C">
              <w:rPr>
                <w:rFonts w:cs="Arial"/>
                <w:b/>
                <w:spacing w:val="2"/>
                <w:lang w:val="en-GB"/>
              </w:rPr>
              <w:t>expenditure</w:t>
            </w:r>
            <w:r w:rsidRPr="0014272C">
              <w:rPr>
                <w:rFonts w:cs="Arial"/>
                <w:color w:val="000000"/>
                <w:lang w:val="en-GB"/>
              </w:rPr>
              <w:t xml:space="preserve"> </w:t>
            </w:r>
          </w:p>
        </w:tc>
        <w:tc>
          <w:tcPr>
            <w:tcW w:w="3289" w:type="dxa"/>
            <w:vMerge w:val="restart"/>
            <w:shd w:val="clear" w:color="auto" w:fill="E7E6E6" w:themeFill="background2"/>
          </w:tcPr>
          <w:p w14:paraId="38D6A619" w14:textId="1E14F1A2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Description of activity/expenditure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09F891A6" w14:textId="70EFC14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Real cost from 11</w:t>
            </w:r>
            <w:r w:rsidRPr="0014272C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4272C">
              <w:rPr>
                <w:rFonts w:cs="Arial"/>
                <w:b/>
                <w:bCs/>
                <w:lang w:val="en-GB"/>
              </w:rPr>
              <w:t xml:space="preserve"> March 2020 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</w:tcBorders>
            <w:shd w:val="clear" w:color="auto" w:fill="E7E6E6" w:themeFill="background2"/>
          </w:tcPr>
          <w:p w14:paraId="1FF83A7D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Cost projection till 10</w:t>
            </w:r>
            <w:r w:rsidRPr="0014272C">
              <w:rPr>
                <w:rFonts w:cs="Arial"/>
                <w:b/>
                <w:bCs/>
                <w:vertAlign w:val="superscript"/>
                <w:lang w:val="en-GB"/>
              </w:rPr>
              <w:t>th</w:t>
            </w:r>
            <w:r w:rsidRPr="0014272C">
              <w:rPr>
                <w:rFonts w:cs="Arial"/>
                <w:b/>
                <w:bCs/>
                <w:lang w:val="en-GB"/>
              </w:rPr>
              <w:t xml:space="preserve"> July 2020</w:t>
            </w:r>
          </w:p>
        </w:tc>
      </w:tr>
      <w:tr w:rsidR="00421DBE" w:rsidRPr="0014272C" w14:paraId="53459E66" w14:textId="77777777" w:rsidTr="00421DBE">
        <w:trPr>
          <w:trHeight w:val="731"/>
        </w:trPr>
        <w:tc>
          <w:tcPr>
            <w:tcW w:w="3794" w:type="dxa"/>
            <w:vMerge/>
            <w:shd w:val="clear" w:color="auto" w:fill="EEECE1"/>
          </w:tcPr>
          <w:p w14:paraId="45B05317" w14:textId="77777777" w:rsidR="00421DBE" w:rsidRPr="0014272C" w:rsidRDefault="00421DBE" w:rsidP="0014272C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3289" w:type="dxa"/>
            <w:vMerge/>
            <w:shd w:val="clear" w:color="auto" w:fill="E7E6E6" w:themeFill="background2"/>
          </w:tcPr>
          <w:p w14:paraId="5770D957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8706E7A" w14:textId="1DAED6BD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EUR</w:t>
            </w:r>
            <w:r w:rsidRPr="0014272C">
              <w:rPr>
                <w:rFonts w:cs="Arial"/>
                <w:lang w:val="en-GB"/>
              </w:rPr>
              <w:t xml:space="preserve"> </w:t>
            </w:r>
          </w:p>
          <w:p w14:paraId="2C4AFEFC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5424DA05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National currency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24CCCECE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EUR</w:t>
            </w:r>
            <w:r w:rsidRPr="0014272C">
              <w:rPr>
                <w:rFonts w:cs="Arial"/>
                <w:lang w:val="en-GB"/>
              </w:rPr>
              <w:t xml:space="preserve"> </w:t>
            </w:r>
          </w:p>
          <w:p w14:paraId="60267845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4508FD21" w14:textId="77777777" w:rsidR="00421DBE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 xml:space="preserve">National </w:t>
            </w:r>
          </w:p>
          <w:p w14:paraId="3EE0DB30" w14:textId="04E3C684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currency</w:t>
            </w:r>
          </w:p>
        </w:tc>
      </w:tr>
      <w:tr w:rsidR="00421DBE" w:rsidRPr="0014272C" w14:paraId="075111AE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0DA805A" w14:textId="7FC4AB62" w:rsidR="00421DBE" w:rsidRPr="0014272C" w:rsidRDefault="00421DBE" w:rsidP="00421DBE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Medical assistance, including medicines</w:t>
            </w:r>
            <w:r>
              <w:rPr>
                <w:rFonts w:cs="Arial"/>
                <w:color w:val="000000"/>
                <w:lang w:val="en-GB"/>
              </w:rPr>
              <w:t>, equipment and medical devices</w:t>
            </w:r>
            <w:r w:rsidRPr="0014272C">
              <w:rPr>
                <w:rFonts w:cs="Arial"/>
                <w:color w:val="000000"/>
                <w:lang w:val="en-GB"/>
              </w:rPr>
              <w:t xml:space="preserve"> 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2B20726A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AD99B" w14:textId="1F4EBFCA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FAF225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2818F6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524C9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0B862615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64D606C5" w14:textId="398BEE33" w:rsidR="00421DBE" w:rsidRPr="0014272C" w:rsidRDefault="00421DBE" w:rsidP="0027689E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</w:t>
            </w:r>
            <w:r w:rsidRPr="0014272C">
              <w:rPr>
                <w:rFonts w:cs="Arial"/>
                <w:color w:val="000000"/>
                <w:lang w:val="en-GB"/>
              </w:rPr>
              <w:t xml:space="preserve">osts of healthcare 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3FC99B3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E9DE5" w14:textId="16D211AB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8C0400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825B7B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FC423D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27689E" w:rsidRPr="0014272C" w14:paraId="6A9FD622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FA9B336" w14:textId="426CF816" w:rsidR="0027689E" w:rsidRDefault="0027689E" w:rsidP="0027689E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</w:t>
            </w:r>
            <w:r w:rsidRPr="0014272C">
              <w:rPr>
                <w:rFonts w:cs="Arial"/>
                <w:color w:val="000000"/>
                <w:lang w:val="en-GB"/>
              </w:rPr>
              <w:t>osts of c</w:t>
            </w:r>
            <w:r>
              <w:rPr>
                <w:rFonts w:cs="Arial"/>
                <w:color w:val="000000"/>
                <w:lang w:val="en-GB"/>
              </w:rPr>
              <w:t>ivil protection infrastructure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6C4CE725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C700C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8737511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5EFEEA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664CDF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27689E" w:rsidRPr="0014272C" w14:paraId="3A1D19F6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0AD64644" w14:textId="6976373C" w:rsidR="0027689E" w:rsidRDefault="0027689E" w:rsidP="0027689E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</w:t>
            </w:r>
            <w:r w:rsidRPr="0014272C">
              <w:rPr>
                <w:rFonts w:cs="Arial"/>
                <w:color w:val="000000"/>
                <w:lang w:val="en-GB"/>
              </w:rPr>
              <w:t>osts of laboratory analyses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59525C4B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B8EEC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B96E03C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2511E0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2B7B11" w14:textId="77777777" w:rsidR="0027689E" w:rsidRPr="0014272C" w:rsidRDefault="0027689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520C2290" w14:textId="77777777" w:rsidTr="00421DBE">
        <w:trPr>
          <w:trHeight w:val="536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4C1FE501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Personal Protective Equipment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2F520B60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128F3" w14:textId="5CA133EE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ACDBC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78318B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116993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56EBBEAF" w14:textId="77777777" w:rsidTr="00421DBE">
        <w:trPr>
          <w:trHeight w:val="659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696D950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 xml:space="preserve">Special assistance to the population and  vulnerable groups 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6D50AF3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B9439" w14:textId="798B3A83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1123775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E65ACB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360F0B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6EEF33A4" w14:textId="77777777" w:rsidTr="00421DBE">
        <w:trPr>
          <w:trHeight w:val="47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2CFF276D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Support to keep medical and other emergency services personnel operational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3A21AC0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850FF" w14:textId="4B5EEC75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681CA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202096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8F063E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3B35C3DF" w14:textId="77777777" w:rsidTr="00421DBE">
        <w:trPr>
          <w:trHeight w:val="368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699D007A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Development of vaccines or medicines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EF97D3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849B9" w14:textId="4CE8EDD9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A10C4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610A57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D65989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60D578D1" w14:textId="77777777" w:rsidTr="00421DBE">
        <w:trPr>
          <w:trHeight w:val="94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18A81975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Strengthening preparedness planning capacity and related communication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5ABC1AD4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55002" w14:textId="64458996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3B208A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5C105E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ECD5DD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25FC3DB5" w14:textId="77777777" w:rsidTr="00421DBE">
        <w:trPr>
          <w:trHeight w:val="68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7888DB97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lastRenderedPageBreak/>
              <w:t>Sanitation of buildings and facilities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F23776D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D1EC0" w14:textId="7D5E20F6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717EFF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21CEE9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0B850F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05535777" w14:textId="77777777" w:rsidTr="00421DBE">
        <w:trPr>
          <w:trHeight w:val="55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58D81781" w14:textId="6719F284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Health checks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33C9E35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A8607" w14:textId="2EA96664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C4B667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964AA3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BA120D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65147E29" w14:textId="77777777" w:rsidTr="00421DBE">
        <w:trPr>
          <w:trHeight w:val="69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694F226E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Risk assessment and management 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62DAE4D6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8CAA0" w14:textId="632378B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CB22ED8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BC02B0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FFB32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6C79751D" w14:textId="77777777" w:rsidTr="00421DBE">
        <w:trPr>
          <w:trHeight w:val="64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5E38D24B" w14:textId="2B27EC34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jc w:val="left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R</w:t>
            </w:r>
            <w:r w:rsidRPr="0014272C">
              <w:rPr>
                <w:rFonts w:cs="Arial"/>
                <w:color w:val="000000"/>
                <w:lang w:val="en-GB"/>
              </w:rPr>
              <w:t>elated additional personnel costs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7CEBA1BE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87A90" w14:textId="0289D63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B2AEB2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E4A7F9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0CD5F9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421DBE" w:rsidRPr="0014272C" w14:paraId="30A1C3A2" w14:textId="77777777" w:rsidTr="00421DBE">
        <w:trPr>
          <w:trHeight w:val="53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0A8EDA91" w14:textId="77777777" w:rsidR="00421DBE" w:rsidRPr="0014272C" w:rsidRDefault="00421DBE" w:rsidP="0014272C">
            <w:pPr>
              <w:pStyle w:val="Odlomakpopisa"/>
              <w:numPr>
                <w:ilvl w:val="0"/>
                <w:numId w:val="1"/>
              </w:numPr>
              <w:spacing w:after="120"/>
              <w:ind w:left="357" w:hanging="357"/>
              <w:jc w:val="left"/>
              <w:rPr>
                <w:rFonts w:cs="Arial"/>
                <w:color w:val="000000"/>
                <w:lang w:val="en-GB"/>
              </w:rPr>
            </w:pPr>
            <w:r w:rsidRPr="0014272C">
              <w:rPr>
                <w:rFonts w:cs="Arial"/>
                <w:color w:val="000000"/>
                <w:lang w:val="en-GB"/>
              </w:rPr>
              <w:t>other (pl. specify)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486015C0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39810" w14:textId="76A8E4D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8CD57CE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AE6A4D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30FE89" w14:textId="77777777" w:rsidR="00421DBE" w:rsidRPr="0014272C" w:rsidRDefault="00421DBE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</w:tbl>
    <w:p w14:paraId="17BDFDCF" w14:textId="6EBEAC03" w:rsidR="005C4EDD" w:rsidRPr="0014272C" w:rsidRDefault="005C4EDD">
      <w:pPr>
        <w:rPr>
          <w:rFonts w:cs="Arial"/>
        </w:rPr>
      </w:pPr>
    </w:p>
    <w:p w14:paraId="23D9E9AD" w14:textId="79E64B9D" w:rsidR="005C4EDD" w:rsidRPr="0014272C" w:rsidRDefault="005C4EDD">
      <w:pPr>
        <w:rPr>
          <w:rFonts w:cs="Arial"/>
        </w:rPr>
      </w:pPr>
    </w:p>
    <w:p w14:paraId="12EFC7F7" w14:textId="13D70103" w:rsidR="005C4EDD" w:rsidRPr="0014272C" w:rsidRDefault="005C4EDD">
      <w:pPr>
        <w:rPr>
          <w:rFonts w:cs="Arial"/>
        </w:rPr>
      </w:pPr>
    </w:p>
    <w:p w14:paraId="3A4E7EFF" w14:textId="706ACB3C" w:rsidR="005C4EDD" w:rsidRPr="0014272C" w:rsidRDefault="005C4EDD">
      <w:pPr>
        <w:rPr>
          <w:rFonts w:cs="Arial"/>
        </w:rPr>
      </w:pPr>
    </w:p>
    <w:p w14:paraId="4C03AB64" w14:textId="43D2F910" w:rsidR="005C4EDD" w:rsidRPr="0014272C" w:rsidRDefault="005C4EDD">
      <w:pPr>
        <w:rPr>
          <w:rFonts w:cs="Arial"/>
        </w:rPr>
      </w:pPr>
    </w:p>
    <w:p w14:paraId="0FA9BD92" w14:textId="7DDA4CF2" w:rsidR="005C4EDD" w:rsidRPr="0014272C" w:rsidRDefault="005C4EDD">
      <w:pPr>
        <w:rPr>
          <w:rFonts w:cs="Arial"/>
        </w:rPr>
      </w:pPr>
    </w:p>
    <w:p w14:paraId="3AC6E7FC" w14:textId="7BBE82FD" w:rsidR="005C4EDD" w:rsidRPr="0014272C" w:rsidRDefault="005C4EDD">
      <w:pPr>
        <w:rPr>
          <w:rFonts w:cs="Arial"/>
        </w:rPr>
      </w:pPr>
    </w:p>
    <w:p w14:paraId="56B418F2" w14:textId="562DF1A0" w:rsidR="005C4EDD" w:rsidRPr="0014272C" w:rsidRDefault="005C4EDD">
      <w:pPr>
        <w:rPr>
          <w:rFonts w:cs="Arial"/>
        </w:rPr>
      </w:pPr>
    </w:p>
    <w:p w14:paraId="3B9B6EAD" w14:textId="54F1BDBC" w:rsidR="005C4EDD" w:rsidRPr="0014272C" w:rsidRDefault="005C4EDD">
      <w:pPr>
        <w:rPr>
          <w:rFonts w:cs="Arial"/>
        </w:rPr>
      </w:pPr>
    </w:p>
    <w:p w14:paraId="5908BBCC" w14:textId="3F196D88" w:rsidR="005C4EDD" w:rsidRPr="0014272C" w:rsidRDefault="005C4EDD">
      <w:pPr>
        <w:rPr>
          <w:rFonts w:cs="Arial"/>
        </w:rPr>
      </w:pPr>
    </w:p>
    <w:p w14:paraId="4D8BCDE0" w14:textId="0765F18E" w:rsidR="005C4EDD" w:rsidRPr="0014272C" w:rsidRDefault="005C4EDD">
      <w:pPr>
        <w:rPr>
          <w:rFonts w:cs="Arial"/>
        </w:rPr>
      </w:pPr>
    </w:p>
    <w:p w14:paraId="79F24E3C" w14:textId="2A148613" w:rsidR="0014272C" w:rsidRPr="0014272C" w:rsidRDefault="0014272C">
      <w:pPr>
        <w:rPr>
          <w:rFonts w:cs="Arial"/>
        </w:rPr>
      </w:pPr>
      <w:r w:rsidRPr="0014272C">
        <w:rPr>
          <w:rFonts w:cs="Arial"/>
        </w:rPr>
        <w:t>Table 2.</w:t>
      </w:r>
    </w:p>
    <w:tbl>
      <w:tblPr>
        <w:tblpPr w:leftFromText="180" w:rightFromText="180" w:vertAnchor="text" w:horzAnchor="margin" w:tblpY="12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9497"/>
      </w:tblGrid>
      <w:tr w:rsidR="0014272C" w:rsidRPr="0014272C" w14:paraId="229FF81B" w14:textId="77777777" w:rsidTr="00421DBE">
        <w:trPr>
          <w:trHeight w:val="1118"/>
        </w:trPr>
        <w:tc>
          <w:tcPr>
            <w:tcW w:w="3823" w:type="dxa"/>
            <w:shd w:val="clear" w:color="auto" w:fill="EEECE1"/>
          </w:tcPr>
          <w:p w14:paraId="7562EE59" w14:textId="77777777" w:rsidR="0014272C" w:rsidRPr="0014272C" w:rsidRDefault="0014272C" w:rsidP="0014272C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b/>
                <w:spacing w:val="2"/>
                <w:lang w:val="en-GB"/>
              </w:rPr>
              <w:t xml:space="preserve">Other </w:t>
            </w:r>
            <w:r w:rsidRPr="0014272C">
              <w:rPr>
                <w:rFonts w:cs="Arial"/>
                <w:b/>
                <w:spacing w:val="2"/>
                <w:u w:val="single"/>
                <w:lang w:val="en-GB"/>
              </w:rPr>
              <w:t>EU funding</w:t>
            </w:r>
            <w:r w:rsidRPr="0014272C">
              <w:rPr>
                <w:rFonts w:cs="Arial"/>
                <w:b/>
                <w:spacing w:val="2"/>
                <w:lang w:val="en-GB"/>
              </w:rPr>
              <w:t xml:space="preserve"> received or requested to help cover total expenditure (e.g. through the Coronavirus Response Investment Initiative)</w:t>
            </w:r>
          </w:p>
        </w:tc>
        <w:tc>
          <w:tcPr>
            <w:tcW w:w="9497" w:type="dxa"/>
            <w:shd w:val="clear" w:color="auto" w:fill="auto"/>
          </w:tcPr>
          <w:p w14:paraId="6F5ECB09" w14:textId="77777777" w:rsidR="0014272C" w:rsidRPr="0014272C" w:rsidRDefault="0014272C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  <w:r w:rsidRPr="0014272C">
              <w:rPr>
                <w:rFonts w:cs="Arial"/>
                <w:lang w:val="en-GB"/>
              </w:rPr>
              <w:t xml:space="preserve">Short description / estimated amount </w:t>
            </w:r>
            <w:r w:rsidRPr="0014272C">
              <w:rPr>
                <w:rFonts w:cs="Arial"/>
                <w:lang w:val="en-GB"/>
              </w:rPr>
              <w:br/>
              <w:t>(e.g. use of Structural and Investment Funds/ESIF, Pre-accession instrument/IPA etc.).</w:t>
            </w:r>
          </w:p>
        </w:tc>
      </w:tr>
      <w:tr w:rsidR="0014272C" w:rsidRPr="0014272C" w14:paraId="46679905" w14:textId="77777777" w:rsidTr="00421DBE">
        <w:trPr>
          <w:trHeight w:val="582"/>
        </w:trPr>
        <w:tc>
          <w:tcPr>
            <w:tcW w:w="3823" w:type="dxa"/>
            <w:tcBorders>
              <w:bottom w:val="dotted" w:sz="4" w:space="0" w:color="auto"/>
            </w:tcBorders>
            <w:shd w:val="clear" w:color="auto" w:fill="EEECE1"/>
          </w:tcPr>
          <w:p w14:paraId="6DFDE392" w14:textId="77777777" w:rsidR="0014272C" w:rsidRPr="0014272C" w:rsidRDefault="0014272C" w:rsidP="0014272C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spacing w:val="2"/>
                <w:lang w:val="en-GB"/>
              </w:rPr>
            </w:pPr>
            <w:r w:rsidRPr="0014272C">
              <w:rPr>
                <w:rFonts w:cs="Arial"/>
                <w:b/>
                <w:spacing w:val="2"/>
                <w:lang w:val="en-GB"/>
              </w:rPr>
              <w:t xml:space="preserve">Other </w:t>
            </w:r>
            <w:r w:rsidRPr="0014272C">
              <w:rPr>
                <w:rFonts w:cs="Arial"/>
                <w:b/>
                <w:spacing w:val="2"/>
                <w:u w:val="single"/>
                <w:lang w:val="en-GB"/>
              </w:rPr>
              <w:t>non-EU</w:t>
            </w:r>
            <w:r w:rsidRPr="0014272C">
              <w:rPr>
                <w:rFonts w:cs="Arial"/>
                <w:b/>
                <w:spacing w:val="2"/>
                <w:lang w:val="en-GB"/>
              </w:rPr>
              <w:t xml:space="preserve"> funding received or expected to cover a part of total public response expenditure</w:t>
            </w:r>
          </w:p>
        </w:tc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</w:tcPr>
          <w:p w14:paraId="401047FB" w14:textId="77777777" w:rsidR="0014272C" w:rsidRPr="0014272C" w:rsidRDefault="0014272C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  <w:r w:rsidRPr="0014272C">
              <w:rPr>
                <w:rFonts w:cs="Arial"/>
                <w:lang w:val="en-GB"/>
              </w:rPr>
              <w:t>Short description / estimated amount / % of total damage</w:t>
            </w:r>
          </w:p>
          <w:p w14:paraId="4BA65069" w14:textId="77777777" w:rsidR="0014272C" w:rsidRPr="0014272C" w:rsidRDefault="0014272C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  <w:r w:rsidRPr="0014272C">
              <w:rPr>
                <w:rFonts w:cs="Arial"/>
                <w:lang w:val="en-GB"/>
              </w:rPr>
              <w:t>Indicate all other sources of funding, including financial and in kind donations that might contribute to covering the cost of emergency operations.</w:t>
            </w:r>
          </w:p>
        </w:tc>
      </w:tr>
      <w:tr w:rsidR="0014272C" w:rsidRPr="0014272C" w14:paraId="14022672" w14:textId="77777777" w:rsidTr="00421DBE">
        <w:trPr>
          <w:trHeight w:val="428"/>
        </w:trPr>
        <w:tc>
          <w:tcPr>
            <w:tcW w:w="382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0F663C98" w14:textId="77777777" w:rsidR="0014272C" w:rsidRPr="0014272C" w:rsidRDefault="0014272C" w:rsidP="0014272C">
            <w:pPr>
              <w:spacing w:before="120" w:after="120" w:line="240" w:lineRule="auto"/>
              <w:ind w:left="410" w:right="170"/>
              <w:jc w:val="right"/>
              <w:rPr>
                <w:rFonts w:cs="Arial"/>
                <w:spacing w:val="2"/>
                <w:lang w:val="en-GB"/>
              </w:rPr>
            </w:pPr>
            <w:r w:rsidRPr="0014272C">
              <w:rPr>
                <w:rFonts w:cs="Arial"/>
                <w:spacing w:val="2"/>
                <w:lang w:val="en-GB"/>
              </w:rPr>
              <w:t>- national</w:t>
            </w:r>
          </w:p>
        </w:tc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F5CA6" w14:textId="77777777" w:rsidR="0014272C" w:rsidRPr="0014272C" w:rsidRDefault="0014272C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14272C" w:rsidRPr="0014272C" w14:paraId="21B52323" w14:textId="77777777" w:rsidTr="00421DBE">
        <w:trPr>
          <w:trHeight w:val="549"/>
        </w:trPr>
        <w:tc>
          <w:tcPr>
            <w:tcW w:w="382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189AA99" w14:textId="77777777" w:rsidR="0014272C" w:rsidRPr="0014272C" w:rsidRDefault="0014272C" w:rsidP="0014272C">
            <w:pPr>
              <w:spacing w:before="120" w:after="120" w:line="240" w:lineRule="auto"/>
              <w:ind w:left="410" w:right="170"/>
              <w:jc w:val="right"/>
              <w:rPr>
                <w:rFonts w:cs="Arial"/>
                <w:spacing w:val="2"/>
                <w:lang w:val="en-GB"/>
              </w:rPr>
            </w:pPr>
            <w:r w:rsidRPr="0014272C">
              <w:rPr>
                <w:rFonts w:cs="Arial"/>
                <w:spacing w:val="2"/>
                <w:lang w:val="en-GB"/>
              </w:rPr>
              <w:t>- international</w:t>
            </w:r>
          </w:p>
        </w:tc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62787E" w14:textId="77777777" w:rsidR="0014272C" w:rsidRPr="0014272C" w:rsidRDefault="0014272C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14272C" w:rsidRPr="0014272C" w14:paraId="1892D27B" w14:textId="77777777" w:rsidTr="00421DBE">
        <w:trPr>
          <w:trHeight w:val="998"/>
        </w:trPr>
        <w:tc>
          <w:tcPr>
            <w:tcW w:w="3823" w:type="dxa"/>
            <w:shd w:val="clear" w:color="auto" w:fill="EEECE1"/>
          </w:tcPr>
          <w:p w14:paraId="3D11B362" w14:textId="77777777" w:rsidR="0014272C" w:rsidRPr="0014272C" w:rsidRDefault="0014272C" w:rsidP="0014272C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  <w:lang w:val="en-GB"/>
              </w:rPr>
            </w:pPr>
            <w:r w:rsidRPr="0014272C">
              <w:rPr>
                <w:rFonts w:cs="Arial"/>
                <w:b/>
                <w:bCs/>
                <w:spacing w:val="-2"/>
                <w:lang w:val="en-GB"/>
              </w:rPr>
              <w:t>Did you request assistance through the European Emergency Response Coordination centre (ERCC)?</w:t>
            </w:r>
            <w:r w:rsidRPr="0014272C">
              <w:rPr>
                <w:rFonts w:cs="Arial"/>
                <w:b/>
                <w:bCs/>
                <w:spacing w:val="-2"/>
                <w:lang w:val="en-GB"/>
              </w:rPr>
              <w:br/>
              <w:t>Please give details</w:t>
            </w:r>
          </w:p>
        </w:tc>
        <w:tc>
          <w:tcPr>
            <w:tcW w:w="9497" w:type="dxa"/>
          </w:tcPr>
          <w:p w14:paraId="6B1B7CE2" w14:textId="77777777" w:rsidR="0014272C" w:rsidRPr="0014272C" w:rsidRDefault="0014272C" w:rsidP="0014272C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  <w:r w:rsidRPr="0014272C">
              <w:rPr>
                <w:rFonts w:cs="Arial"/>
                <w:lang w:val="en-GB"/>
              </w:rPr>
              <w:t>Short description of such assistance</w:t>
            </w:r>
          </w:p>
        </w:tc>
      </w:tr>
    </w:tbl>
    <w:p w14:paraId="08BBEAF6" w14:textId="77777777" w:rsidR="0014272C" w:rsidRPr="0014272C" w:rsidRDefault="0014272C">
      <w:pPr>
        <w:rPr>
          <w:rFonts w:cs="Arial"/>
        </w:rPr>
      </w:pPr>
    </w:p>
    <w:p w14:paraId="03A1E83E" w14:textId="77777777" w:rsidR="0014272C" w:rsidRPr="0014272C" w:rsidRDefault="0014272C">
      <w:pPr>
        <w:rPr>
          <w:rFonts w:cs="Arial"/>
        </w:rPr>
      </w:pPr>
    </w:p>
    <w:p w14:paraId="64FB0333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0CB6B075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579C2A1B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1D083117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5E500CAE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19BDEF6B" w14:textId="2696998A" w:rsidR="005C4EDD" w:rsidRPr="0014272C" w:rsidRDefault="005C4EDD">
      <w:pPr>
        <w:rPr>
          <w:rFonts w:cs="Arial"/>
          <w:sz w:val="22"/>
          <w:szCs w:val="22"/>
        </w:rPr>
      </w:pPr>
    </w:p>
    <w:p w14:paraId="40035A6F" w14:textId="77777777" w:rsidR="00421DBE" w:rsidRDefault="00421DBE" w:rsidP="0014272C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5BB12B64" w14:textId="77777777" w:rsidR="00421DBE" w:rsidRDefault="00421DBE" w:rsidP="0014272C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36DA77B7" w14:textId="77777777" w:rsidR="00421DBE" w:rsidRDefault="00421DBE" w:rsidP="0014272C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42B80AA6" w14:textId="649C5A3B" w:rsidR="00421DBE" w:rsidRDefault="00421DBE">
      <w:pPr>
        <w:rPr>
          <w:rFonts w:cs="Arial"/>
        </w:rPr>
      </w:pPr>
    </w:p>
    <w:p w14:paraId="297E1C80" w14:textId="77777777" w:rsidR="00421DBE" w:rsidRPr="00421DBE" w:rsidRDefault="00421DBE" w:rsidP="00421DBE">
      <w:pPr>
        <w:rPr>
          <w:rFonts w:cs="Arial"/>
        </w:rPr>
      </w:pPr>
    </w:p>
    <w:p w14:paraId="46D0FF7B" w14:textId="77777777" w:rsidR="00421DBE" w:rsidRPr="00421DBE" w:rsidRDefault="00421DBE" w:rsidP="00421DBE">
      <w:pPr>
        <w:rPr>
          <w:rFonts w:cs="Arial"/>
        </w:rPr>
      </w:pPr>
    </w:p>
    <w:p w14:paraId="400536D0" w14:textId="77777777" w:rsidR="00421DBE" w:rsidRPr="00421DBE" w:rsidRDefault="00421DBE" w:rsidP="00421DBE">
      <w:pPr>
        <w:rPr>
          <w:rFonts w:cs="Arial"/>
        </w:rPr>
      </w:pPr>
    </w:p>
    <w:p w14:paraId="66DF39D8" w14:textId="77777777" w:rsidR="00421DBE" w:rsidRPr="00421DBE" w:rsidRDefault="00421DBE" w:rsidP="00421DBE">
      <w:pPr>
        <w:rPr>
          <w:rFonts w:cs="Arial"/>
        </w:rPr>
      </w:pPr>
    </w:p>
    <w:p w14:paraId="5D3E7135" w14:textId="1CBAEE49" w:rsidR="00421DBE" w:rsidRDefault="00421DBE" w:rsidP="00421DBE">
      <w:pPr>
        <w:rPr>
          <w:rFonts w:cs="Arial"/>
        </w:rPr>
      </w:pPr>
    </w:p>
    <w:p w14:paraId="0603567C" w14:textId="77777777" w:rsidR="00421DBE" w:rsidRDefault="00421DBE" w:rsidP="00421DBE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49197E6F" w14:textId="77777777" w:rsidR="00421DBE" w:rsidRDefault="00421DBE" w:rsidP="00421DBE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7214394F" w14:textId="77777777" w:rsidR="00421DBE" w:rsidRDefault="00421DBE" w:rsidP="00421DBE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1850937C" w14:textId="77777777" w:rsidR="00421DBE" w:rsidRPr="0014272C" w:rsidRDefault="00421DBE" w:rsidP="00421DBE">
      <w:pPr>
        <w:spacing w:before="120" w:after="120" w:line="240" w:lineRule="auto"/>
        <w:ind w:right="113"/>
        <w:rPr>
          <w:rFonts w:cs="Arial"/>
          <w:sz w:val="22"/>
          <w:szCs w:val="22"/>
          <w:lang w:val="en-GB"/>
        </w:rPr>
      </w:pPr>
      <w:r w:rsidRPr="0014272C">
        <w:rPr>
          <w:rFonts w:cs="Arial"/>
          <w:sz w:val="22"/>
          <w:szCs w:val="22"/>
          <w:lang w:val="en-GB"/>
        </w:rPr>
        <w:t xml:space="preserve">The amounts may include all </w:t>
      </w:r>
      <w:r w:rsidRPr="0014272C">
        <w:rPr>
          <w:rFonts w:cs="Arial"/>
          <w:sz w:val="22"/>
          <w:szCs w:val="22"/>
          <w:u w:val="single"/>
          <w:lang w:val="en-GB"/>
        </w:rPr>
        <w:t>real</w:t>
      </w:r>
      <w:r w:rsidRPr="0014272C">
        <w:rPr>
          <w:rFonts w:cs="Arial"/>
          <w:sz w:val="22"/>
          <w:szCs w:val="22"/>
          <w:lang w:val="en-GB"/>
        </w:rPr>
        <w:t xml:space="preserve"> expenditure (actually made or projected) </w:t>
      </w:r>
      <w:r w:rsidRPr="0014272C">
        <w:rPr>
          <w:rFonts w:cs="Arial"/>
          <w:b/>
          <w:sz w:val="22"/>
          <w:szCs w:val="22"/>
          <w:lang w:val="en-GB"/>
        </w:rPr>
        <w:t>during the 4 months following the beginning of the emergency</w:t>
      </w:r>
      <w:r w:rsidRPr="0014272C">
        <w:rPr>
          <w:rFonts w:cs="Arial"/>
          <w:sz w:val="22"/>
          <w:szCs w:val="22"/>
          <w:lang w:val="en-GB"/>
        </w:rPr>
        <w:t>. This expenditure should be additional and directly linked to the emergency. Double financing of the same operation with other EU instruments is not permitted.</w:t>
      </w:r>
    </w:p>
    <w:p w14:paraId="6636A8C7" w14:textId="77777777" w:rsidR="00421DBE" w:rsidRPr="0014272C" w:rsidRDefault="00421DBE" w:rsidP="00421DBE">
      <w:pPr>
        <w:spacing w:before="120" w:after="120" w:line="240" w:lineRule="auto"/>
        <w:ind w:right="113"/>
        <w:rPr>
          <w:rFonts w:cs="Arial"/>
          <w:sz w:val="22"/>
          <w:szCs w:val="22"/>
          <w:lang w:val="en-GB"/>
        </w:rPr>
      </w:pPr>
      <w:r w:rsidRPr="0014272C">
        <w:rPr>
          <w:rFonts w:cs="Arial"/>
          <w:sz w:val="22"/>
          <w:szCs w:val="22"/>
          <w:lang w:val="en-GB"/>
        </w:rPr>
        <w:t xml:space="preserve">Expenditure to support businesses or the labour market may not be included. Guarantees, state income losses and other indirect costs may not be included. </w:t>
      </w:r>
    </w:p>
    <w:p w14:paraId="59F5C4FD" w14:textId="77777777" w:rsidR="00421DBE" w:rsidRPr="0014272C" w:rsidRDefault="00421DBE" w:rsidP="00421DBE">
      <w:pPr>
        <w:spacing w:before="120" w:after="120" w:line="240" w:lineRule="auto"/>
        <w:ind w:right="113"/>
        <w:rPr>
          <w:rFonts w:cs="Arial"/>
          <w:sz w:val="22"/>
          <w:szCs w:val="22"/>
          <w:lang w:val="en-GB"/>
        </w:rPr>
      </w:pPr>
      <w:r w:rsidRPr="0014272C">
        <w:rPr>
          <w:rFonts w:cs="Arial"/>
          <w:sz w:val="22"/>
          <w:szCs w:val="22"/>
          <w:lang w:val="en-GB"/>
        </w:rPr>
        <w:t>VAT may only be included if non-recoverable under national VAT-legislation.</w:t>
      </w:r>
    </w:p>
    <w:p w14:paraId="449310ED" w14:textId="77777777" w:rsidR="00421DBE" w:rsidRDefault="00421DBE" w:rsidP="00421DBE">
      <w:pPr>
        <w:spacing w:before="120" w:after="120" w:line="240" w:lineRule="auto"/>
        <w:rPr>
          <w:rFonts w:cs="Arial"/>
          <w:sz w:val="22"/>
          <w:szCs w:val="22"/>
          <w:lang w:val="en-GB"/>
        </w:rPr>
      </w:pPr>
      <w:r w:rsidRPr="0014272C">
        <w:rPr>
          <w:rFonts w:cs="Arial"/>
          <w:sz w:val="22"/>
          <w:szCs w:val="22"/>
          <w:lang w:val="en-GB"/>
        </w:rPr>
        <w:t xml:space="preserve">For countries not using the euro please convert all amounts into euros at the official rate for the month of the application published by the Commission at </w:t>
      </w:r>
    </w:p>
    <w:p w14:paraId="58FD26F8" w14:textId="77777777" w:rsidR="00421DBE" w:rsidRPr="0014272C" w:rsidRDefault="00AC3D08" w:rsidP="00421DBE">
      <w:pPr>
        <w:spacing w:before="120" w:after="120" w:line="240" w:lineRule="auto"/>
        <w:rPr>
          <w:rStyle w:val="Hiperveza"/>
          <w:rFonts w:cs="Arial"/>
          <w:sz w:val="22"/>
          <w:szCs w:val="22"/>
          <w:lang w:val="en-GB"/>
        </w:rPr>
      </w:pPr>
      <w:hyperlink r:id="rId7" w:history="1">
        <w:r w:rsidR="00421DBE" w:rsidRPr="00B072E9">
          <w:rPr>
            <w:rStyle w:val="Hiperveza"/>
            <w:rFonts w:cs="Arial"/>
            <w:sz w:val="22"/>
            <w:szCs w:val="22"/>
            <w:lang w:val="en-GB"/>
          </w:rPr>
          <w:t>http://ec.europa.eu/budget/contracts_grants/info_contracts/inforeuro/inforeuro_en.cfm</w:t>
        </w:r>
      </w:hyperlink>
    </w:p>
    <w:p w14:paraId="02CCCDE4" w14:textId="77777777" w:rsidR="00421DBE" w:rsidRPr="0014272C" w:rsidRDefault="00421DBE" w:rsidP="00421DBE">
      <w:pPr>
        <w:jc w:val="left"/>
        <w:rPr>
          <w:rFonts w:cs="Arial"/>
          <w:sz w:val="22"/>
          <w:szCs w:val="22"/>
        </w:rPr>
      </w:pPr>
    </w:p>
    <w:p w14:paraId="4A541FB1" w14:textId="77777777" w:rsidR="005C4EDD" w:rsidRPr="00421DBE" w:rsidRDefault="005C4EDD" w:rsidP="00421DBE">
      <w:pPr>
        <w:rPr>
          <w:rFonts w:cs="Arial"/>
        </w:rPr>
      </w:pPr>
    </w:p>
    <w:sectPr w:rsidR="005C4EDD" w:rsidRPr="00421DBE" w:rsidSect="00421D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24F7" w14:textId="77777777" w:rsidR="00AC3D08" w:rsidRDefault="00AC3D08" w:rsidP="00145FEF">
      <w:pPr>
        <w:spacing w:line="240" w:lineRule="auto"/>
      </w:pPr>
      <w:r>
        <w:separator/>
      </w:r>
    </w:p>
  </w:endnote>
  <w:endnote w:type="continuationSeparator" w:id="0">
    <w:p w14:paraId="4613F404" w14:textId="77777777" w:rsidR="00AC3D08" w:rsidRDefault="00AC3D08" w:rsidP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73B0" w14:textId="77777777" w:rsidR="00AC3D08" w:rsidRDefault="00AC3D08" w:rsidP="00145FEF">
      <w:pPr>
        <w:spacing w:line="240" w:lineRule="auto"/>
      </w:pPr>
      <w:r>
        <w:separator/>
      </w:r>
    </w:p>
  </w:footnote>
  <w:footnote w:type="continuationSeparator" w:id="0">
    <w:p w14:paraId="76D41A14" w14:textId="77777777" w:rsidR="00AC3D08" w:rsidRDefault="00AC3D08" w:rsidP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2208" w14:textId="77777777" w:rsidR="0014272C" w:rsidRPr="00421DBE" w:rsidRDefault="005C4EDD" w:rsidP="005C4EDD">
    <w:pPr>
      <w:pStyle w:val="Zaglavlje"/>
      <w:jc w:val="center"/>
      <w:rPr>
        <w:b/>
        <w:sz w:val="28"/>
        <w:szCs w:val="28"/>
        <w:lang w:val="en-GB"/>
      </w:rPr>
    </w:pPr>
    <w:r w:rsidRPr="00421DBE">
      <w:rPr>
        <w:b/>
        <w:sz w:val="28"/>
        <w:szCs w:val="28"/>
        <w:lang w:val="en-GB"/>
      </w:rPr>
      <w:t xml:space="preserve">Application Form for public health emergencies </w:t>
    </w:r>
  </w:p>
  <w:p w14:paraId="075D0970" w14:textId="38EAB02F" w:rsidR="00145FEF" w:rsidRPr="005C4EDD" w:rsidRDefault="005C4EDD" w:rsidP="005C4EDD">
    <w:pPr>
      <w:pStyle w:val="Zaglavlje"/>
      <w:jc w:val="center"/>
      <w:rPr>
        <w:sz w:val="24"/>
        <w:szCs w:val="24"/>
      </w:rPr>
    </w:pPr>
    <w:r w:rsidRPr="00421DBE">
      <w:rPr>
        <w:b/>
        <w:sz w:val="28"/>
        <w:szCs w:val="28"/>
        <w:lang w:val="en-GB"/>
      </w:rPr>
      <w:t xml:space="preserve">– Breakdown of eligible </w:t>
    </w:r>
    <w:r w:rsidR="00421DBE" w:rsidRPr="00421DBE">
      <w:rPr>
        <w:b/>
        <w:sz w:val="28"/>
        <w:szCs w:val="28"/>
        <w:lang w:val="en-GB"/>
      </w:rPr>
      <w:t>activities/</w:t>
    </w:r>
    <w:r w:rsidRPr="00421DBE">
      <w:rPr>
        <w:b/>
        <w:sz w:val="28"/>
        <w:szCs w:val="28"/>
        <w:lang w:val="en-GB"/>
      </w:rPr>
      <w:t>expenditure</w:t>
    </w:r>
    <w:r w:rsidR="0014272C" w:rsidRPr="00421DBE">
      <w:rPr>
        <w:b/>
        <w:sz w:val="28"/>
        <w:szCs w:val="28"/>
        <w:lang w:val="en-GB"/>
      </w:rPr>
      <w:t xml:space="preserve"> -</w:t>
    </w:r>
    <w:r w:rsidR="0014272C">
      <w:rPr>
        <w:sz w:val="24"/>
        <w:szCs w:val="24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41B26"/>
    <w:multiLevelType w:val="hybridMultilevel"/>
    <w:tmpl w:val="DE168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8BA9DA8">
      <w:numFmt w:val="bullet"/>
      <w:lvlText w:val="•"/>
      <w:lvlJc w:val="left"/>
      <w:pPr>
        <w:ind w:left="1420" w:hanging="70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EF"/>
    <w:rsid w:val="00012FFC"/>
    <w:rsid w:val="0010636E"/>
    <w:rsid w:val="0014272C"/>
    <w:rsid w:val="00145FEF"/>
    <w:rsid w:val="0027689E"/>
    <w:rsid w:val="00421DBE"/>
    <w:rsid w:val="00424E35"/>
    <w:rsid w:val="0042795A"/>
    <w:rsid w:val="004472AD"/>
    <w:rsid w:val="005C4EDD"/>
    <w:rsid w:val="00650D04"/>
    <w:rsid w:val="008B25D5"/>
    <w:rsid w:val="0094605E"/>
    <w:rsid w:val="00AB1D8D"/>
    <w:rsid w:val="00AC3D08"/>
    <w:rsid w:val="00D672CB"/>
    <w:rsid w:val="00E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1C01"/>
  <w15:chartTrackingRefBased/>
  <w15:docId w15:val="{D0EF59AB-1CAF-48E8-AA85-F29795C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EF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val="pt-PT" w:eastAsia="pt-P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45FE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FEF"/>
    <w:rPr>
      <w:rFonts w:ascii="Arial" w:eastAsia="Times New Roman" w:hAnsi="Arial" w:cs="Times New Roman"/>
      <w:sz w:val="20"/>
      <w:szCs w:val="20"/>
      <w:lang w:val="pt-PT" w:eastAsia="pt-PT"/>
    </w:rPr>
  </w:style>
  <w:style w:type="paragraph" w:styleId="Podnoje">
    <w:name w:val="footer"/>
    <w:basedOn w:val="Normal"/>
    <w:link w:val="PodnojeChar"/>
    <w:uiPriority w:val="99"/>
    <w:unhideWhenUsed/>
    <w:rsid w:val="00145FE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FEF"/>
    <w:rPr>
      <w:rFonts w:ascii="Arial" w:eastAsia="Times New Roman" w:hAnsi="Arial" w:cs="Times New Roman"/>
      <w:sz w:val="20"/>
      <w:szCs w:val="20"/>
      <w:lang w:val="pt-PT" w:eastAsia="pt-PT"/>
    </w:rPr>
  </w:style>
  <w:style w:type="character" w:styleId="Hiperveza">
    <w:name w:val="Hyperlink"/>
    <w:rsid w:val="005C4EDD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4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Đeni Vuković</cp:lastModifiedBy>
  <cp:revision>2</cp:revision>
  <dcterms:created xsi:type="dcterms:W3CDTF">2020-05-19T12:04:00Z</dcterms:created>
  <dcterms:modified xsi:type="dcterms:W3CDTF">2020-05-19T12:04:00Z</dcterms:modified>
</cp:coreProperties>
</file>